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</w:pPr>
      <w:r>
        <w:t xml:space="preserve">Сводная ведомость результатов </w:t>
      </w:r>
      <w:r>
        <w:t xml:space="preserve">проведения </w:t>
      </w:r>
      <w:r>
        <w:t xml:space="preserve">специальной оценки условий труда</w:t>
      </w:r>
      <w:r/>
    </w:p>
    <w:p>
      <w:pPr>
        <w:jc w:val="right"/>
      </w:pPr>
      <w:r/>
      <w:r/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>
        <w:tblPrEx/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0" w:name="table1"/>
            <w:r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на которых проведена специальная оценка условий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59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1" w:name="pos1"/>
            <w:r/>
            <w:bookmarkEnd w:id="1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59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2" w:name="pos2"/>
            <w:r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Работники, занятые на рабочих местах (чел.)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59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3" w:name="pos3"/>
            <w:r/>
            <w:bookmarkEnd w:id="3"/>
            <w:r>
              <w:rPr>
                <w:rFonts w:ascii="Times New Roman" w:hAnsi="Times New Roman"/>
                <w:sz w:val="20"/>
                <w:szCs w:val="20"/>
              </w:rPr>
              <w:t xml:space="preserve">из них женщин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59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4" w:name="pos4"/>
            <w:r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59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/>
            <w:bookmarkStart w:id="5" w:name="pos5"/>
            <w:r/>
            <w:bookmarkEnd w:id="5"/>
            <w:r>
              <w:rPr>
                <w:rFonts w:ascii="Times New Roman" w:hAnsi="Times New Roman"/>
                <w:sz w:val="20"/>
                <w:szCs w:val="20"/>
              </w:rPr>
              <w:t xml:space="preserve">из них инвалидов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85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right"/>
      </w:pPr>
      <w:r>
        <w:t xml:space="preserve">Таблица 2</w:t>
      </w:r>
      <w:r/>
    </w:p>
    <w:tbl>
      <w:tblPr>
        <w:tblW w:w="50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8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>
        <w:tblPrEx/>
        <w:trPr>
          <w:cantSplit/>
          <w:trHeight w:val="245"/>
        </w:trPr>
        <w:tc>
          <w:tcPr>
            <w:shd w:val="clear" w:color="auto" w:fill="auto"/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Индиви</w:t>
            </w:r>
            <w:r>
              <w:rPr>
                <w:color w:val="000000"/>
                <w:sz w:val="20"/>
              </w:rPr>
              <w:t xml:space="preserve">дуальный номер рабочего места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27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Профессия/</w:t>
            </w:r>
            <w:r>
              <w:rPr>
                <w:color w:val="000000"/>
                <w:sz w:val="20"/>
              </w:rPr>
              <w:br/>
              <w:t xml:space="preserve">должность/</w:t>
            </w:r>
            <w:r>
              <w:rPr>
                <w:color w:val="000000"/>
                <w:sz w:val="20"/>
              </w:rPr>
              <w:br/>
              <w:t xml:space="preserve">специальность работника </w: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</w:r>
          </w:p>
        </w:tc>
        <w:tc>
          <w:tcPr>
            <w:gridSpan w:val="14"/>
            <w:shd w:val="clear" w:color="auto" w:fill="auto"/>
            <w:tcW w:w="7036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(подклассы)</w:t>
            </w:r>
            <w:r>
              <w:rPr>
                <w:sz w:val="20"/>
              </w:rPr>
              <w:t xml:space="preserve"> условий труда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69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Итоговый класс (подкласс) условий труда с учетом эффективного применения СИЗ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Повышенный размер оплаты труда (</w:t>
            </w:r>
            <w:r>
              <w:rPr>
                <w:color w:val="000000"/>
                <w:sz w:val="16"/>
                <w:szCs w:val="16"/>
              </w:rPr>
              <w:t xml:space="preserve">да,нет</w:t>
            </w:r>
            <w:r>
              <w:rPr>
                <w:color w:val="000000"/>
                <w:sz w:val="16"/>
                <w:szCs w:val="16"/>
              </w:rPr>
              <w:t xml:space="preserve">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Ежегодный дополнительный оплачиваемый отпуск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Сокращенная продолжительность рабочего времени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Молоко или другие равноценные пищевые продукт</w:t>
            </w:r>
            <w:r>
              <w:rPr>
                <w:sz w:val="16"/>
                <w:szCs w:val="16"/>
              </w:rPr>
              <w:t xml:space="preserve">ы 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5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Лечебно</w:t>
            </w:r>
            <w:r>
              <w:rPr>
                <w:sz w:val="16"/>
                <w:szCs w:val="16"/>
              </w:rPr>
              <w:t xml:space="preserve">-профилактическое </w:t>
            </w:r>
            <w:r>
              <w:rPr>
                <w:sz w:val="16"/>
                <w:szCs w:val="16"/>
              </w:rPr>
              <w:t xml:space="preserve">питание  (</w:t>
            </w:r>
            <w:r>
              <w:rPr>
                <w:sz w:val="16"/>
                <w:szCs w:val="16"/>
              </w:rPr>
              <w:t xml:space="preserve">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96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 xml:space="preserve">Право на досрочное назначение страховой пенсии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(да/нет)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>
          <w:cantSplit/>
          <w:trHeight w:val="2254"/>
        </w:trPr>
        <w:tc>
          <w:tcPr>
            <w:shd w:val="clear" w:color="auto" w:fill="auto"/>
            <w:tcW w:w="9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/>
            <w:bookmarkStart w:id="6" w:name="_GoBack"/>
            <w:r/>
            <w:bookmarkEnd w:id="6"/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27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Х</w:t>
            </w:r>
            <w:r>
              <w:rPr>
                <w:color w:val="000000"/>
                <w:sz w:val="16"/>
                <w:szCs w:val="16"/>
              </w:rPr>
              <w:t xml:space="preserve">имический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</w:t>
            </w:r>
            <w:r>
              <w:rPr>
                <w:color w:val="000000"/>
                <w:sz w:val="16"/>
                <w:szCs w:val="16"/>
              </w:rPr>
              <w:t xml:space="preserve">иологический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</w:t>
            </w:r>
            <w:r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r>
              <w:rPr>
                <w:color w:val="000000"/>
                <w:sz w:val="16"/>
                <w:szCs w:val="16"/>
              </w:rPr>
              <w:t xml:space="preserve">фиброгенного</w:t>
            </w:r>
            <w:r>
              <w:rPr>
                <w:color w:val="000000"/>
                <w:sz w:val="16"/>
                <w:szCs w:val="16"/>
              </w:rPr>
              <w:t xml:space="preserve"> действия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</w:t>
            </w:r>
            <w:r>
              <w:rPr>
                <w:color w:val="000000"/>
                <w:sz w:val="16"/>
                <w:szCs w:val="16"/>
              </w:rPr>
              <w:t xml:space="preserve">ум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нфразвук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</w:t>
            </w:r>
            <w:r>
              <w:rPr>
                <w:color w:val="000000"/>
                <w:sz w:val="16"/>
                <w:szCs w:val="16"/>
              </w:rPr>
              <w:t xml:space="preserve">льтразвук воздушный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общая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ибрация локальная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еионизирующие излучения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онизирующие излучения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микроклимата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btLr"/>
            <w:noWrap w:val="false"/>
          </w:tcPr>
          <w:p>
            <w:pPr>
              <w:ind w:left="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</w:t>
            </w:r>
            <w:r>
              <w:rPr>
                <w:color w:val="000000"/>
                <w:sz w:val="16"/>
                <w:szCs w:val="16"/>
              </w:rPr>
              <w:t xml:space="preserve">араметры световой среды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яжесть трудового процесса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</w:t>
            </w:r>
            <w:r>
              <w:rPr>
                <w:color w:val="000000"/>
                <w:sz w:val="16"/>
                <w:szCs w:val="16"/>
              </w:rPr>
              <w:t xml:space="preserve">апряженность трудового процесса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W w:w="55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697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5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5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5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5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559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96" w:type="dxa"/>
            <w:vMerge w:val="continue"/>
            <w:textDirection w:val="btLr"/>
            <w:noWrap w:val="false"/>
          </w:tcPr>
          <w:p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8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>
        <w:tblPrEx/>
        <w:trPr>
          <w:tblHeader/>
        </w:trPr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bookmarkStart w:id="7" w:name="table2"/>
            <w:r/>
            <w:bookmarkEnd w:id="7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ИФНС 7724 г. Москва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Генеральный директор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продаж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отдела 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Бухгалтерия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бухгалтер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продаж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Бухгалтерия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главного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 по заработной плате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10А (9А)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11А (9А)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Бухгалтер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кадровому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администрированию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директор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Маркетолог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помещений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Конструкторский отдел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конструкторского отдела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19А (18А)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20А (18А)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21А (18А)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23А (22А)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24А (22А)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25А (22А)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Инженер-конструктор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логистики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27А (26А)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материально технического обеспечения (ОМТО)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МТО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отдела МТО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30А (29А)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отдела МТО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31А (29А)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отдела МТО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менеджера отдела МТО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Ассистент менеджера отдела МТО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продаж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43А (34А)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53А (44А)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менеджера по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Подразделение по подбору персонала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подразделения по подбору персонала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подбору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персонала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Отдел региональных продаж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отдела региональных 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Тендерный отдел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тендерного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68А (59А)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менеджер отдела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80А (69А)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Менеджер по 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менеджера по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82А (81А)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менеджера по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83А (81А)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менеджера по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84А (81А)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менеджера по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продажам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Офис-менеджер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4"/>
            <w:shd w:val="clear" w:color="auto" w:fill="auto"/>
            <w:tcW w:w="15265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Склад г. Люберцы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по логистике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склада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склада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89А (88А)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склада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Конструктор-технолог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91А (90А)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Конструктор-технолог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92А (90А)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Конструктор-технолог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93А (90А)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Конструктор-технолог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94А (90А)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Конструктор-технолог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95А (90А)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Конструктор-технолог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оператор 1С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98А (97А)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1С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Программист 1С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кладовщик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Кладовщик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Комплектовщик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Тракторист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111А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112А (111А)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113А (111А)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погрузчика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shd w:val="clear" w:color="auto" w:fill="auto"/>
            <w:tcW w:w="9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121 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273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Грузчик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1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6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70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92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697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59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erReference w:type="default" r:id="rId8"/>
      <w:footnotePr/>
      <w:endnotePr/>
      <w:type w:val="nextPage"/>
      <w:pgSz w:w="16838" w:h="11906" w:orient="landscape"/>
      <w:pgMar w:top="899" w:right="851" w:bottom="568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17871689"/>
      <w:docPartObj>
        <w:docPartGallery w:val="Page Numbers (Bottom of Page)"/>
        <w:docPartUnique w:val="true"/>
      </w:docPartObj>
      <w:rPr/>
    </w:sdtPr>
    <w:sdtContent>
      <w:p>
        <w:pPr>
          <w:pStyle w:val="86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0"/>
    <w:next w:val="850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2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2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2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2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2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2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0"/>
    <w:next w:val="850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2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0"/>
    <w:uiPriority w:val="34"/>
    <w:qFormat/>
    <w:pPr>
      <w:contextualSpacing/>
      <w:ind w:left="720"/>
    </w:pPr>
  </w:style>
  <w:style w:type="paragraph" w:styleId="696">
    <w:name w:val="Title"/>
    <w:basedOn w:val="850"/>
    <w:next w:val="850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0"/>
    <w:next w:val="850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0"/>
    <w:next w:val="850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0"/>
    <w:next w:val="850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64"/>
    <w:uiPriority w:val="99"/>
  </w:style>
  <w:style w:type="character" w:styleId="705">
    <w:name w:val="Footer Char"/>
    <w:basedOn w:val="852"/>
    <w:link w:val="866"/>
    <w:uiPriority w:val="99"/>
  </w:style>
  <w:style w:type="paragraph" w:styleId="706">
    <w:name w:val="Caption"/>
    <w:basedOn w:val="850"/>
    <w:next w:val="850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852"/>
    <w:link w:val="706"/>
    <w:uiPriority w:val="35"/>
    <w:rPr>
      <w:b/>
      <w:bCs/>
      <w:color w:val="4f81bd" w:themeColor="accent1"/>
      <w:sz w:val="18"/>
      <w:szCs w:val="18"/>
    </w:r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rPr>
      <w:sz w:val="24"/>
    </w:rPr>
  </w:style>
  <w:style w:type="paragraph" w:styleId="851">
    <w:name w:val="Heading 1"/>
    <w:basedOn w:val="850"/>
    <w:next w:val="85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56">
    <w:name w:val="Hyperlink"/>
    <w:rPr>
      <w:color w:val="0000ff"/>
      <w:u w:val="single"/>
    </w:rPr>
  </w:style>
  <w:style w:type="paragraph" w:styleId="857" w:customStyle="1">
    <w:name w:val="Готовый"/>
    <w:basedOn w:val="850"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85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59">
    <w:name w:val="No Spacing"/>
    <w:qFormat/>
    <w:rPr>
      <w:rFonts w:ascii="Calibri" w:hAnsi="Calibri" w:eastAsia="Calibri"/>
      <w:sz w:val="22"/>
      <w:szCs w:val="22"/>
      <w:lang w:eastAsia="en-US"/>
    </w:rPr>
  </w:style>
  <w:style w:type="paragraph" w:styleId="860" w:customStyle="1">
    <w:name w:val="Раздел"/>
    <w:basedOn w:val="850"/>
    <w:link w:val="861"/>
    <w:pPr>
      <w:spacing w:before="60"/>
    </w:pPr>
    <w:rPr>
      <w:b/>
      <w:color w:val="000000"/>
      <w:szCs w:val="24"/>
    </w:rPr>
  </w:style>
  <w:style w:type="character" w:styleId="861" w:customStyle="1">
    <w:name w:val="Раздел Знак"/>
    <w:link w:val="860"/>
    <w:rPr>
      <w:b/>
      <w:color w:val="000000"/>
      <w:sz w:val="24"/>
      <w:szCs w:val="24"/>
      <w:lang w:val="ru-RU" w:eastAsia="ru-RU" w:bidi="ar-SA"/>
    </w:rPr>
  </w:style>
  <w:style w:type="character" w:styleId="862" w:customStyle="1">
    <w:name w:val="Поле"/>
    <w:rPr>
      <w:rFonts w:ascii="Times New Roman" w:hAnsi="Times New Roman"/>
      <w:sz w:val="24"/>
      <w:u w:val="single"/>
    </w:rPr>
  </w:style>
  <w:style w:type="paragraph" w:styleId="863" w:customStyle="1">
    <w:name w:val="Табличный"/>
    <w:basedOn w:val="850"/>
    <w:pPr>
      <w:jc w:val="center"/>
    </w:pPr>
    <w:rPr>
      <w:sz w:val="20"/>
    </w:rPr>
  </w:style>
  <w:style w:type="paragraph" w:styleId="864">
    <w:name w:val="Header"/>
    <w:basedOn w:val="850"/>
    <w:link w:val="865"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852"/>
    <w:link w:val="864"/>
    <w:rPr>
      <w:sz w:val="24"/>
    </w:rPr>
  </w:style>
  <w:style w:type="paragraph" w:styleId="866">
    <w:name w:val="Footer"/>
    <w:basedOn w:val="850"/>
    <w:link w:val="867"/>
    <w:uiPriority w:val="99"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852"/>
    <w:link w:val="866"/>
    <w:uiPriority w:val="9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sv_docs_date.dot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Елизавета Карпова</cp:lastModifiedBy>
  <cp:revision>6</cp:revision>
  <dcterms:created xsi:type="dcterms:W3CDTF">2025-01-27T10:34:00Z</dcterms:created>
  <dcterms:modified xsi:type="dcterms:W3CDTF">2025-03-17T13:39:49Z</dcterms:modified>
</cp:coreProperties>
</file>